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22"/>
        <w:tblW w:w="14417" w:type="dxa"/>
        <w:tblLook w:val="04A0" w:firstRow="1" w:lastRow="0" w:firstColumn="1" w:lastColumn="0" w:noHBand="0" w:noVBand="1"/>
      </w:tblPr>
      <w:tblGrid>
        <w:gridCol w:w="2087"/>
        <w:gridCol w:w="2340"/>
        <w:gridCol w:w="4500"/>
        <w:gridCol w:w="5490"/>
      </w:tblGrid>
      <w:tr w:rsidR="00FB067A" w:rsidRPr="0094646E">
        <w:trPr>
          <w:trHeight w:val="241"/>
        </w:trPr>
        <w:tc>
          <w:tcPr>
            <w:tcW w:w="2087" w:type="dxa"/>
            <w:tcBorders>
              <w:top w:val="single" w:sz="8" w:space="0" w:color="000000"/>
              <w:left w:val="single" w:sz="8" w:space="0" w:color="000000"/>
              <w:bottom w:val="single" w:sz="8" w:space="0" w:color="auto"/>
              <w:right w:val="single" w:sz="8" w:space="0" w:color="000000"/>
            </w:tcBorders>
            <w:shd w:val="clear" w:color="auto" w:fill="auto"/>
          </w:tcPr>
          <w:p w:rsidR="00FB067A" w:rsidRPr="0094646E" w:rsidRDefault="00FB067A" w:rsidP="00F63B82">
            <w:pPr>
              <w:rPr>
                <w:rFonts w:ascii="Times New Roman" w:eastAsia="Times New Roman" w:hAnsi="Times New Roman"/>
                <w:b/>
                <w:bCs/>
                <w:color w:val="000000"/>
                <w:lang w:bidi="ar-SA"/>
              </w:rPr>
            </w:pPr>
            <w:bookmarkStart w:id="0" w:name="_GoBack"/>
            <w:bookmarkEnd w:id="0"/>
            <w:r w:rsidRPr="0094646E">
              <w:rPr>
                <w:rFonts w:ascii="Times New Roman" w:eastAsia="Times New Roman" w:hAnsi="Times New Roman"/>
                <w:b/>
                <w:bCs/>
                <w:color w:val="000000"/>
                <w:sz w:val="22"/>
                <w:szCs w:val="22"/>
                <w:lang w:bidi="ar-SA"/>
              </w:rPr>
              <w:t>Asset Type</w:t>
            </w:r>
          </w:p>
        </w:tc>
        <w:tc>
          <w:tcPr>
            <w:tcW w:w="2340" w:type="dxa"/>
            <w:tcBorders>
              <w:top w:val="single" w:sz="8" w:space="0" w:color="000000"/>
              <w:left w:val="nil"/>
              <w:bottom w:val="single" w:sz="8" w:space="0" w:color="auto"/>
              <w:right w:val="single" w:sz="8" w:space="0" w:color="000000"/>
            </w:tcBorders>
            <w:shd w:val="clear" w:color="auto" w:fill="auto"/>
          </w:tcPr>
          <w:p w:rsidR="00FB067A" w:rsidRPr="0094646E" w:rsidRDefault="00FB067A" w:rsidP="00F63B82">
            <w:pPr>
              <w:rPr>
                <w:rFonts w:ascii="Times New Roman" w:eastAsia="Times New Roman" w:hAnsi="Times New Roman"/>
                <w:b/>
                <w:bCs/>
                <w:color w:val="000000"/>
                <w:lang w:bidi="ar-SA"/>
              </w:rPr>
            </w:pPr>
            <w:r w:rsidRPr="0094646E">
              <w:rPr>
                <w:rFonts w:ascii="Times New Roman" w:eastAsia="Times New Roman" w:hAnsi="Times New Roman"/>
                <w:b/>
                <w:bCs/>
                <w:color w:val="000000"/>
                <w:sz w:val="22"/>
                <w:szCs w:val="22"/>
                <w:lang w:bidi="ar-SA"/>
              </w:rPr>
              <w:t>Asset Sub-Type</w:t>
            </w:r>
          </w:p>
        </w:tc>
        <w:tc>
          <w:tcPr>
            <w:tcW w:w="4500" w:type="dxa"/>
            <w:tcBorders>
              <w:top w:val="single" w:sz="8" w:space="0" w:color="000000"/>
              <w:left w:val="nil"/>
              <w:bottom w:val="single" w:sz="8" w:space="0" w:color="auto"/>
              <w:right w:val="single" w:sz="8" w:space="0" w:color="000000"/>
            </w:tcBorders>
            <w:shd w:val="clear" w:color="auto" w:fill="auto"/>
          </w:tcPr>
          <w:p w:rsidR="00FB067A" w:rsidRPr="0094646E" w:rsidRDefault="00FB067A" w:rsidP="00FB067A">
            <w:pPr>
              <w:jc w:val="center"/>
              <w:rPr>
                <w:rFonts w:ascii="Times New Roman" w:eastAsia="Times New Roman" w:hAnsi="Times New Roman"/>
                <w:b/>
                <w:bCs/>
                <w:color w:val="000000"/>
                <w:lang w:bidi="ar-SA"/>
              </w:rPr>
            </w:pPr>
            <w:r w:rsidRPr="0094646E">
              <w:rPr>
                <w:rFonts w:ascii="Times New Roman" w:eastAsia="Times New Roman" w:hAnsi="Times New Roman"/>
                <w:b/>
                <w:bCs/>
                <w:color w:val="000000"/>
                <w:sz w:val="22"/>
                <w:szCs w:val="22"/>
                <w:lang w:bidi="ar-SA"/>
              </w:rPr>
              <w:t>Sub-Type Assigned To…</w:t>
            </w:r>
          </w:p>
        </w:tc>
        <w:tc>
          <w:tcPr>
            <w:tcW w:w="5490" w:type="dxa"/>
            <w:tcBorders>
              <w:top w:val="single" w:sz="8" w:space="0" w:color="000000"/>
              <w:left w:val="nil"/>
              <w:bottom w:val="single" w:sz="8" w:space="0" w:color="auto"/>
              <w:right w:val="single" w:sz="8" w:space="0" w:color="000000"/>
            </w:tcBorders>
            <w:shd w:val="clear" w:color="auto" w:fill="auto"/>
          </w:tcPr>
          <w:p w:rsidR="00FB067A" w:rsidRPr="0094646E" w:rsidRDefault="00FB067A" w:rsidP="00F63B82">
            <w:pPr>
              <w:rPr>
                <w:rFonts w:ascii="Times New Roman" w:eastAsia="Times New Roman" w:hAnsi="Times New Roman"/>
                <w:b/>
                <w:bCs/>
                <w:color w:val="000000"/>
                <w:lang w:bidi="ar-SA"/>
              </w:rPr>
            </w:pPr>
            <w:r w:rsidRPr="0094646E">
              <w:rPr>
                <w:rFonts w:ascii="Times New Roman" w:eastAsia="Times New Roman" w:hAnsi="Times New Roman"/>
                <w:b/>
                <w:bCs/>
                <w:color w:val="000000"/>
                <w:sz w:val="22"/>
                <w:szCs w:val="22"/>
                <w:lang w:bidi="ar-SA"/>
              </w:rPr>
              <w:t>Notes</w:t>
            </w:r>
          </w:p>
        </w:tc>
      </w:tr>
      <w:tr w:rsidR="00FB067A" w:rsidRPr="0094646E">
        <w:trPr>
          <w:trHeight w:val="520"/>
        </w:trPr>
        <w:tc>
          <w:tcPr>
            <w:tcW w:w="2087" w:type="dxa"/>
            <w:vMerge w:val="restart"/>
            <w:tcBorders>
              <w:top w:val="nil"/>
              <w:left w:val="single" w:sz="8" w:space="0" w:color="000000"/>
              <w:right w:val="single" w:sz="8" w:space="0" w:color="000000"/>
            </w:tcBorders>
            <w:shd w:val="clear" w:color="auto" w:fill="auto"/>
          </w:tcPr>
          <w:p w:rsidR="00FB067A" w:rsidRPr="00B07238" w:rsidRDefault="00FB067A" w:rsidP="00F63B82">
            <w:pPr>
              <w:rPr>
                <w:rFonts w:cstheme="minorHAnsi"/>
              </w:rPr>
            </w:pPr>
            <w:r w:rsidRPr="00B07238">
              <w:rPr>
                <w:rFonts w:cstheme="minorHAnsi"/>
                <w:sz w:val="22"/>
                <w:szCs w:val="22"/>
              </w:rPr>
              <w:t>B:  Buildings</w:t>
            </w:r>
          </w:p>
          <w:p w:rsidR="00FB067A" w:rsidRPr="00B07238" w:rsidRDefault="00FB067A" w:rsidP="00F63B82">
            <w:pPr>
              <w:rPr>
                <w:rFonts w:cstheme="minorHAnsi"/>
              </w:rPr>
            </w:pPr>
          </w:p>
          <w:p w:rsidR="00FB067A" w:rsidRPr="00B07238" w:rsidRDefault="00FB067A" w:rsidP="009779AD">
            <w:pPr>
              <w:rPr>
                <w:rFonts w:ascii="Times New Roman" w:eastAsia="Times New Roman" w:hAnsi="Times New Roman"/>
                <w:lang w:bidi="ar-SA"/>
              </w:rPr>
            </w:pPr>
            <w:r w:rsidRPr="00B07238">
              <w:rPr>
                <w:rFonts w:cstheme="minorHAnsi"/>
                <w:sz w:val="22"/>
                <w:szCs w:val="22"/>
              </w:rPr>
              <w:t>Structures that contain spaces that are designed to contain people and/or program materials</w:t>
            </w: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D:  Design Development</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New facilities while in design phase</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This sub-type would roll to another sub-type when construction is complete and University takes ownership</w:t>
            </w:r>
          </w:p>
        </w:tc>
      </w:tr>
      <w:tr w:rsidR="00FB067A" w:rsidRPr="0094646E">
        <w:trPr>
          <w:trHeight w:val="799"/>
        </w:trPr>
        <w:tc>
          <w:tcPr>
            <w:tcW w:w="2087" w:type="dxa"/>
            <w:vMerge/>
            <w:tcBorders>
              <w:left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O:  Owned and Occupied </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xml:space="preserve">Buildings </w:t>
            </w:r>
            <w:r w:rsidR="00A152AB">
              <w:rPr>
                <w:rFonts w:ascii="Times New Roman" w:eastAsia="Times New Roman" w:hAnsi="Times New Roman"/>
                <w:color w:val="000000"/>
                <w:sz w:val="22"/>
                <w:szCs w:val="22"/>
                <w:lang w:bidi="ar-SA"/>
              </w:rPr>
              <w:t>for which</w:t>
            </w:r>
            <w:r w:rsidRPr="0094646E">
              <w:rPr>
                <w:rFonts w:ascii="Times New Roman" w:eastAsia="Times New Roman" w:hAnsi="Times New Roman"/>
                <w:color w:val="000000"/>
                <w:sz w:val="22"/>
                <w:szCs w:val="22"/>
                <w:lang w:bidi="ar-SA"/>
              </w:rPr>
              <w:t xml:space="preserve"> the majority of the financing is Cornell-related and people or programs of the University occupy at least some of the space</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w:t>
            </w:r>
          </w:p>
        </w:tc>
      </w:tr>
      <w:tr w:rsidR="00FB067A" w:rsidRPr="0094646E">
        <w:trPr>
          <w:trHeight w:val="610"/>
        </w:trPr>
        <w:tc>
          <w:tcPr>
            <w:tcW w:w="2087" w:type="dxa"/>
            <w:vMerge/>
            <w:tcBorders>
              <w:left w:val="single" w:sz="8" w:space="0" w:color="000000"/>
              <w:bottom w:val="nil"/>
              <w:right w:val="single" w:sz="8" w:space="0" w:color="000000"/>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E:  Leased to Cornell</w:t>
            </w:r>
          </w:p>
        </w:tc>
        <w:tc>
          <w:tcPr>
            <w:tcW w:w="450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Buildings owned by an outside agency or the Federal Government and space within is leased to Cornell</w:t>
            </w:r>
          </w:p>
        </w:tc>
        <w:tc>
          <w:tcPr>
            <w:tcW w:w="549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w:t>
            </w:r>
          </w:p>
        </w:tc>
      </w:tr>
      <w:tr w:rsidR="00FB067A" w:rsidRPr="0094646E">
        <w:trPr>
          <w:trHeight w:val="727"/>
        </w:trPr>
        <w:tc>
          <w:tcPr>
            <w:tcW w:w="2087" w:type="dxa"/>
            <w:vMerge/>
            <w:tcBorders>
              <w:left w:val="single" w:sz="8" w:space="0" w:color="000000"/>
              <w:right w:val="single" w:sz="8" w:space="0" w:color="000000"/>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H:  CU Leased to Others</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3375E4">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xml:space="preserve">Buildings </w:t>
            </w:r>
            <w:r w:rsidR="00A152AB">
              <w:rPr>
                <w:rFonts w:ascii="Times New Roman" w:eastAsia="Times New Roman" w:hAnsi="Times New Roman"/>
                <w:color w:val="000000"/>
                <w:sz w:val="22"/>
                <w:szCs w:val="22"/>
                <w:lang w:bidi="ar-SA"/>
              </w:rPr>
              <w:t>for which</w:t>
            </w:r>
            <w:r w:rsidRPr="0094646E">
              <w:rPr>
                <w:rFonts w:ascii="Times New Roman" w:eastAsia="Times New Roman" w:hAnsi="Times New Roman"/>
                <w:color w:val="000000"/>
                <w:sz w:val="22"/>
                <w:szCs w:val="22"/>
                <w:lang w:bidi="ar-SA"/>
              </w:rPr>
              <w:t xml:space="preserve"> the majority of financing is Cornell-related, but space within </w:t>
            </w:r>
            <w:r w:rsidR="003375E4" w:rsidRPr="003375E4">
              <w:rPr>
                <w:rFonts w:cstheme="minorHAnsi"/>
                <w:sz w:val="22"/>
                <w:szCs w:val="22"/>
              </w:rPr>
              <w:t>is leased in its entirety to one or more non-Cornell occupants</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If one or more rooms is occupied by Cornell, the sub-type is O</w:t>
            </w:r>
          </w:p>
        </w:tc>
      </w:tr>
      <w:tr w:rsidR="00FB067A" w:rsidRPr="0094646E">
        <w:trPr>
          <w:trHeight w:val="736"/>
        </w:trPr>
        <w:tc>
          <w:tcPr>
            <w:tcW w:w="2087" w:type="dxa"/>
            <w:vMerge/>
            <w:tcBorders>
              <w:left w:val="single" w:sz="8" w:space="0" w:color="000000"/>
              <w:bottom w:val="nil"/>
              <w:right w:val="single" w:sz="8" w:space="0" w:color="000000"/>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Z:  Outside Housing</w:t>
            </w:r>
          </w:p>
        </w:tc>
        <w:tc>
          <w:tcPr>
            <w:tcW w:w="450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Small housing units not owned by the University, but that are in some way affiliated, such as through the Greek system</w:t>
            </w:r>
          </w:p>
        </w:tc>
        <w:tc>
          <w:tcPr>
            <w:tcW w:w="549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w:t>
            </w:r>
          </w:p>
        </w:tc>
      </w:tr>
      <w:tr w:rsidR="00FB067A" w:rsidRPr="0094646E">
        <w:trPr>
          <w:trHeight w:val="1141"/>
        </w:trPr>
        <w:tc>
          <w:tcPr>
            <w:tcW w:w="2087" w:type="dxa"/>
            <w:vMerge/>
            <w:tcBorders>
              <w:left w:val="single" w:sz="8" w:space="0" w:color="000000"/>
              <w:bottom w:val="single" w:sz="8" w:space="0" w:color="000000"/>
              <w:right w:val="single" w:sz="8" w:space="0" w:color="000000"/>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single" w:sz="8" w:space="0" w:color="000000"/>
              <w:bottom w:val="nil"/>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T:  Tracked for Administrative Use</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Buildings owned and occupied by others (not Cornell-related)</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These buildings are included in the Facilities Inventory for administrative purposes.  Examples include structures owned by outside agencies that need utility shut down notices.  Example:  Robert W. Holley Center for Agriculture &amp; Health, and construction trailers</w:t>
            </w:r>
          </w:p>
        </w:tc>
      </w:tr>
      <w:tr w:rsidR="00FB067A" w:rsidRPr="0094646E">
        <w:trPr>
          <w:trHeight w:val="979"/>
        </w:trPr>
        <w:tc>
          <w:tcPr>
            <w:tcW w:w="2087" w:type="dxa"/>
            <w:vMerge w:val="restart"/>
            <w:tcBorders>
              <w:top w:val="nil"/>
              <w:left w:val="single" w:sz="8" w:space="0" w:color="auto"/>
              <w:right w:val="single" w:sz="8" w:space="0" w:color="auto"/>
            </w:tcBorders>
            <w:shd w:val="clear" w:color="auto" w:fill="auto"/>
          </w:tcPr>
          <w:p w:rsidR="00FB067A" w:rsidRPr="00B07238"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N:  Non-Buildings</w:t>
            </w:r>
          </w:p>
          <w:p w:rsidR="00FB067A" w:rsidRPr="00B07238" w:rsidRDefault="00FB067A" w:rsidP="00F63B82">
            <w:pPr>
              <w:rPr>
                <w:rFonts w:ascii="Times New Roman" w:eastAsia="Times New Roman" w:hAnsi="Times New Roman"/>
                <w:color w:val="000000"/>
                <w:lang w:bidi="ar-SA"/>
              </w:rPr>
            </w:pPr>
          </w:p>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Structures and or systems that are not intended for occupancy but require tracking related to facilities functions</w:t>
            </w:r>
          </w:p>
        </w:tc>
        <w:tc>
          <w:tcPr>
            <w:tcW w:w="2340" w:type="dxa"/>
            <w:tcBorders>
              <w:top w:val="single" w:sz="8" w:space="0" w:color="auto"/>
              <w:left w:val="nil"/>
              <w:bottom w:val="single" w:sz="8" w:space="0" w:color="auto"/>
              <w:right w:val="single" w:sz="8" w:space="0" w:color="auto"/>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A:  Area</w:t>
            </w:r>
          </w:p>
        </w:tc>
        <w:tc>
          <w:tcPr>
            <w:tcW w:w="4500" w:type="dxa"/>
            <w:tcBorders>
              <w:top w:val="nil"/>
              <w:left w:val="nil"/>
              <w:bottom w:val="nil"/>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xml:space="preserve">A mapped </w:t>
            </w:r>
            <w:r w:rsidR="00A152AB" w:rsidRPr="0094646E">
              <w:rPr>
                <w:rFonts w:ascii="Times New Roman" w:eastAsia="Times New Roman" w:hAnsi="Times New Roman"/>
                <w:color w:val="000000"/>
                <w:sz w:val="22"/>
                <w:szCs w:val="22"/>
                <w:lang w:bidi="ar-SA"/>
              </w:rPr>
              <w:t>boundary</w:t>
            </w:r>
            <w:r w:rsidRPr="0094646E">
              <w:rPr>
                <w:rFonts w:ascii="Times New Roman" w:eastAsia="Times New Roman" w:hAnsi="Times New Roman"/>
                <w:color w:val="000000"/>
                <w:sz w:val="22"/>
                <w:szCs w:val="22"/>
                <w:lang w:bidi="ar-SA"/>
              </w:rPr>
              <w:t xml:space="preserve"> that defines a geographic area set aside for a certain task(s)</w:t>
            </w:r>
            <w:r w:rsidR="00A152AB">
              <w:rPr>
                <w:rFonts w:ascii="Times New Roman" w:eastAsia="Times New Roman" w:hAnsi="Times New Roman"/>
                <w:color w:val="000000"/>
                <w:sz w:val="22"/>
                <w:szCs w:val="22"/>
                <w:lang w:bidi="ar-SA"/>
              </w:rPr>
              <w:t xml:space="preserve"> or activity</w:t>
            </w:r>
          </w:p>
        </w:tc>
        <w:tc>
          <w:tcPr>
            <w:tcW w:w="5490" w:type="dxa"/>
            <w:tcBorders>
              <w:top w:val="nil"/>
              <w:left w:val="nil"/>
              <w:bottom w:val="nil"/>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In the past these codes were provided for the Grounds Department, which required a link to the job cost system.  If additional codes are required for areas special coordination is required through Facilities Inventory</w:t>
            </w:r>
          </w:p>
        </w:tc>
      </w:tr>
      <w:tr w:rsidR="00FB067A" w:rsidRPr="0094646E">
        <w:trPr>
          <w:trHeight w:val="984"/>
        </w:trPr>
        <w:tc>
          <w:tcPr>
            <w:tcW w:w="2087" w:type="dxa"/>
            <w:vMerge/>
            <w:tcBorders>
              <w:left w:val="single" w:sz="8" w:space="0" w:color="auto"/>
              <w:bottom w:val="nil"/>
              <w:right w:val="single" w:sz="8" w:space="0" w:color="auto"/>
            </w:tcBorders>
            <w:shd w:val="clear" w:color="auto" w:fill="auto"/>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P:  Parking</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Parking areas</w:t>
            </w:r>
          </w:p>
        </w:tc>
        <w:tc>
          <w:tcPr>
            <w:tcW w:w="5490" w:type="dxa"/>
            <w:tcBorders>
              <w:top w:val="single" w:sz="8" w:space="0" w:color="000000"/>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Facility codes with sub-type “P” are not redundant with or intended to replace the parking inventory maintained by Transportation.  Facility codes are assigned to parking areas to geographically identify functions or activities relating to that location</w:t>
            </w:r>
          </w:p>
        </w:tc>
      </w:tr>
      <w:tr w:rsidR="00FB067A" w:rsidRPr="0094646E">
        <w:trPr>
          <w:trHeight w:val="545"/>
        </w:trPr>
        <w:tc>
          <w:tcPr>
            <w:tcW w:w="2087" w:type="dxa"/>
            <w:vMerge/>
            <w:tcBorders>
              <w:left w:val="single" w:sz="8" w:space="0" w:color="auto"/>
              <w:bottom w:val="nil"/>
              <w:right w:val="single" w:sz="8" w:space="0" w:color="auto"/>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Q:  Bridges</w:t>
            </w:r>
          </w:p>
        </w:tc>
        <w:tc>
          <w:tcPr>
            <w:tcW w:w="450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Vehicle and pedestrian bridges maintained by the University</w:t>
            </w:r>
          </w:p>
        </w:tc>
        <w:tc>
          <w:tcPr>
            <w:tcW w:w="549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 </w:t>
            </w:r>
          </w:p>
        </w:tc>
      </w:tr>
      <w:tr w:rsidR="00FB067A" w:rsidRPr="0094646E">
        <w:trPr>
          <w:trHeight w:val="718"/>
        </w:trPr>
        <w:tc>
          <w:tcPr>
            <w:tcW w:w="2087" w:type="dxa"/>
            <w:vMerge/>
            <w:tcBorders>
              <w:left w:val="single" w:sz="8" w:space="0" w:color="auto"/>
              <w:bottom w:val="nil"/>
              <w:right w:val="single" w:sz="8" w:space="0" w:color="auto"/>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R:  Road</w:t>
            </w:r>
          </w:p>
        </w:tc>
        <w:tc>
          <w:tcPr>
            <w:tcW w:w="450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Roads, streets, avenues, drives, etc.</w:t>
            </w:r>
          </w:p>
        </w:tc>
        <w:tc>
          <w:tcPr>
            <w:tcW w:w="5490" w:type="dxa"/>
            <w:tcBorders>
              <w:top w:val="nil"/>
              <w:left w:val="single" w:sz="8" w:space="0" w:color="000000"/>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Facility codes with sub-type “R” are assigned for the same purpose as parking areas - only to geographically identify functions or activities relating to that location</w:t>
            </w:r>
          </w:p>
        </w:tc>
      </w:tr>
      <w:tr w:rsidR="00FB067A" w:rsidRPr="0094646E">
        <w:trPr>
          <w:trHeight w:val="660"/>
        </w:trPr>
        <w:tc>
          <w:tcPr>
            <w:tcW w:w="2087" w:type="dxa"/>
            <w:vMerge/>
            <w:tcBorders>
              <w:left w:val="single" w:sz="8" w:space="0" w:color="auto"/>
              <w:right w:val="single" w:sz="8" w:space="0" w:color="auto"/>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U:  Related to Utility &amp; Fuel Systems</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Structures required for support of the utilities and fuel systems</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Examples include the chilled water or central steam systems, fuel or water tanks.  This sub-type is not used for occupiable vaults</w:t>
            </w:r>
          </w:p>
        </w:tc>
      </w:tr>
      <w:tr w:rsidR="00FB067A" w:rsidRPr="0094646E">
        <w:trPr>
          <w:trHeight w:val="691"/>
        </w:trPr>
        <w:tc>
          <w:tcPr>
            <w:tcW w:w="2087" w:type="dxa"/>
            <w:vMerge/>
            <w:tcBorders>
              <w:left w:val="single" w:sz="8" w:space="0" w:color="auto"/>
              <w:bottom w:val="single" w:sz="8" w:space="0" w:color="000000"/>
              <w:right w:val="single" w:sz="8" w:space="0" w:color="auto"/>
            </w:tcBorders>
            <w:vAlign w:val="center"/>
          </w:tcPr>
          <w:p w:rsidR="00FB067A" w:rsidRPr="0094646E" w:rsidRDefault="00FB067A" w:rsidP="00F63B82">
            <w:pPr>
              <w:rPr>
                <w:rFonts w:ascii="Times New Roman" w:eastAsia="Times New Roman" w:hAnsi="Times New Roman"/>
                <w:color w:val="000000"/>
                <w:lang w:bidi="ar-SA"/>
              </w:rPr>
            </w:pPr>
          </w:p>
        </w:tc>
        <w:tc>
          <w:tcPr>
            <w:tcW w:w="234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G:  Other Non-Buildings</w:t>
            </w:r>
          </w:p>
        </w:tc>
        <w:tc>
          <w:tcPr>
            <w:tcW w:w="4500" w:type="dxa"/>
            <w:tcBorders>
              <w:top w:val="nil"/>
              <w:left w:val="nil"/>
              <w:bottom w:val="single" w:sz="8" w:space="0" w:color="000000"/>
              <w:right w:val="single" w:sz="8" w:space="0" w:color="000000"/>
            </w:tcBorders>
            <w:shd w:val="clear" w:color="auto" w:fill="auto"/>
          </w:tcPr>
          <w:p w:rsidR="00FB067A" w:rsidRPr="0094646E" w:rsidRDefault="00FB067A" w:rsidP="00A152AB">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Items tracked within the Facilities Inventory to support other facilities functions that do not fit the sub-type definitions immediately above</w:t>
            </w:r>
          </w:p>
        </w:tc>
        <w:tc>
          <w:tcPr>
            <w:tcW w:w="5490" w:type="dxa"/>
            <w:tcBorders>
              <w:top w:val="nil"/>
              <w:left w:val="nil"/>
              <w:bottom w:val="single" w:sz="8" w:space="0" w:color="000000"/>
              <w:right w:val="single" w:sz="8" w:space="0" w:color="000000"/>
            </w:tcBorders>
            <w:shd w:val="clear" w:color="auto" w:fill="auto"/>
          </w:tcPr>
          <w:p w:rsidR="00FB067A" w:rsidRPr="0094646E" w:rsidRDefault="00FB067A" w:rsidP="00F63B82">
            <w:pPr>
              <w:rPr>
                <w:rFonts w:ascii="Times New Roman" w:eastAsia="Times New Roman" w:hAnsi="Times New Roman"/>
                <w:color w:val="000000"/>
                <w:lang w:bidi="ar-SA"/>
              </w:rPr>
            </w:pPr>
            <w:r w:rsidRPr="0094646E">
              <w:rPr>
                <w:rFonts w:ascii="Times New Roman" w:eastAsia="Times New Roman" w:hAnsi="Times New Roman"/>
                <w:color w:val="000000"/>
                <w:sz w:val="22"/>
                <w:szCs w:val="22"/>
                <w:lang w:bidi="ar-SA"/>
              </w:rPr>
              <w:t>Examples include break walls, equipment, property maps, etc.</w:t>
            </w:r>
          </w:p>
        </w:tc>
      </w:tr>
    </w:tbl>
    <w:p w:rsidR="00A3453F" w:rsidRDefault="009779AD" w:rsidP="009779AD">
      <w:pPr>
        <w:tabs>
          <w:tab w:val="right" w:pos="14310"/>
        </w:tabs>
      </w:pPr>
      <w:r w:rsidRPr="009779AD">
        <w:rPr>
          <w:b/>
        </w:rPr>
        <w:t>Asset Type and Subtype Assignment</w:t>
      </w:r>
      <w:r>
        <w:tab/>
        <w:t>4/14/10</w:t>
      </w:r>
    </w:p>
    <w:sectPr w:rsidR="00A3453F" w:rsidSect="00FB06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7A"/>
    <w:rsid w:val="001D51C7"/>
    <w:rsid w:val="002837BF"/>
    <w:rsid w:val="003375E4"/>
    <w:rsid w:val="003842D0"/>
    <w:rsid w:val="00386A0E"/>
    <w:rsid w:val="007E142A"/>
    <w:rsid w:val="008A3AC5"/>
    <w:rsid w:val="008F5AF5"/>
    <w:rsid w:val="009779AD"/>
    <w:rsid w:val="00A152AB"/>
    <w:rsid w:val="00A3453F"/>
    <w:rsid w:val="00BC05F7"/>
    <w:rsid w:val="00F757B3"/>
    <w:rsid w:val="00FB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0B71-7168-4BFA-8E61-81F11559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7A"/>
    <w:pPr>
      <w:spacing w:after="0" w:line="240" w:lineRule="auto"/>
    </w:pPr>
    <w:rPr>
      <w:sz w:val="24"/>
      <w:szCs w:val="24"/>
    </w:rPr>
  </w:style>
  <w:style w:type="paragraph" w:styleId="Heading1">
    <w:name w:val="heading 1"/>
    <w:basedOn w:val="Normal"/>
    <w:next w:val="Normal"/>
    <w:link w:val="Heading1Char"/>
    <w:uiPriority w:val="9"/>
    <w:qFormat/>
    <w:rsid w:val="002837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37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37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37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37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37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37BF"/>
    <w:pPr>
      <w:spacing w:before="240" w:after="60"/>
      <w:outlineLvl w:val="6"/>
    </w:pPr>
  </w:style>
  <w:style w:type="paragraph" w:styleId="Heading8">
    <w:name w:val="heading 8"/>
    <w:basedOn w:val="Normal"/>
    <w:next w:val="Normal"/>
    <w:link w:val="Heading8Char"/>
    <w:uiPriority w:val="9"/>
    <w:semiHidden/>
    <w:unhideWhenUsed/>
    <w:qFormat/>
    <w:rsid w:val="002837BF"/>
    <w:pPr>
      <w:spacing w:before="240" w:after="60"/>
      <w:outlineLvl w:val="7"/>
    </w:pPr>
    <w:rPr>
      <w:i/>
      <w:iCs/>
    </w:rPr>
  </w:style>
  <w:style w:type="paragraph" w:styleId="Heading9">
    <w:name w:val="heading 9"/>
    <w:basedOn w:val="Normal"/>
    <w:next w:val="Normal"/>
    <w:link w:val="Heading9Char"/>
    <w:uiPriority w:val="9"/>
    <w:semiHidden/>
    <w:unhideWhenUsed/>
    <w:qFormat/>
    <w:rsid w:val="002837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7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37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37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37BF"/>
    <w:rPr>
      <w:b/>
      <w:bCs/>
      <w:sz w:val="28"/>
      <w:szCs w:val="28"/>
    </w:rPr>
  </w:style>
  <w:style w:type="character" w:customStyle="1" w:styleId="Heading5Char">
    <w:name w:val="Heading 5 Char"/>
    <w:basedOn w:val="DefaultParagraphFont"/>
    <w:link w:val="Heading5"/>
    <w:uiPriority w:val="9"/>
    <w:semiHidden/>
    <w:rsid w:val="002837BF"/>
    <w:rPr>
      <w:b/>
      <w:bCs/>
      <w:i/>
      <w:iCs/>
      <w:sz w:val="26"/>
      <w:szCs w:val="26"/>
    </w:rPr>
  </w:style>
  <w:style w:type="character" w:customStyle="1" w:styleId="Heading6Char">
    <w:name w:val="Heading 6 Char"/>
    <w:basedOn w:val="DefaultParagraphFont"/>
    <w:link w:val="Heading6"/>
    <w:uiPriority w:val="9"/>
    <w:semiHidden/>
    <w:rsid w:val="002837BF"/>
    <w:rPr>
      <w:b/>
      <w:bCs/>
    </w:rPr>
  </w:style>
  <w:style w:type="character" w:customStyle="1" w:styleId="Heading7Char">
    <w:name w:val="Heading 7 Char"/>
    <w:basedOn w:val="DefaultParagraphFont"/>
    <w:link w:val="Heading7"/>
    <w:uiPriority w:val="9"/>
    <w:semiHidden/>
    <w:rsid w:val="002837BF"/>
    <w:rPr>
      <w:sz w:val="24"/>
      <w:szCs w:val="24"/>
    </w:rPr>
  </w:style>
  <w:style w:type="character" w:customStyle="1" w:styleId="Heading8Char">
    <w:name w:val="Heading 8 Char"/>
    <w:basedOn w:val="DefaultParagraphFont"/>
    <w:link w:val="Heading8"/>
    <w:uiPriority w:val="9"/>
    <w:semiHidden/>
    <w:rsid w:val="002837BF"/>
    <w:rPr>
      <w:i/>
      <w:iCs/>
      <w:sz w:val="24"/>
      <w:szCs w:val="24"/>
    </w:rPr>
  </w:style>
  <w:style w:type="character" w:customStyle="1" w:styleId="Heading9Char">
    <w:name w:val="Heading 9 Char"/>
    <w:basedOn w:val="DefaultParagraphFont"/>
    <w:link w:val="Heading9"/>
    <w:uiPriority w:val="9"/>
    <w:semiHidden/>
    <w:rsid w:val="002837BF"/>
    <w:rPr>
      <w:rFonts w:asciiTheme="majorHAnsi" w:eastAsiaTheme="majorEastAsia" w:hAnsiTheme="majorHAnsi"/>
    </w:rPr>
  </w:style>
  <w:style w:type="paragraph" w:styleId="Title">
    <w:name w:val="Title"/>
    <w:basedOn w:val="Normal"/>
    <w:next w:val="Normal"/>
    <w:link w:val="TitleChar"/>
    <w:uiPriority w:val="10"/>
    <w:qFormat/>
    <w:rsid w:val="002837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37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37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37BF"/>
    <w:rPr>
      <w:rFonts w:asciiTheme="majorHAnsi" w:eastAsiaTheme="majorEastAsia" w:hAnsiTheme="majorHAnsi"/>
      <w:sz w:val="24"/>
      <w:szCs w:val="24"/>
    </w:rPr>
  </w:style>
  <w:style w:type="character" w:styleId="Strong">
    <w:name w:val="Strong"/>
    <w:basedOn w:val="DefaultParagraphFont"/>
    <w:uiPriority w:val="22"/>
    <w:qFormat/>
    <w:rsid w:val="002837BF"/>
    <w:rPr>
      <w:b/>
      <w:bCs/>
    </w:rPr>
  </w:style>
  <w:style w:type="character" w:styleId="Emphasis">
    <w:name w:val="Emphasis"/>
    <w:basedOn w:val="DefaultParagraphFont"/>
    <w:uiPriority w:val="20"/>
    <w:qFormat/>
    <w:rsid w:val="002837BF"/>
    <w:rPr>
      <w:rFonts w:asciiTheme="minorHAnsi" w:hAnsiTheme="minorHAnsi"/>
      <w:b/>
      <w:i/>
      <w:iCs/>
    </w:rPr>
  </w:style>
  <w:style w:type="paragraph" w:styleId="NoSpacing">
    <w:name w:val="No Spacing"/>
    <w:basedOn w:val="Normal"/>
    <w:uiPriority w:val="1"/>
    <w:qFormat/>
    <w:rsid w:val="002837BF"/>
    <w:rPr>
      <w:szCs w:val="32"/>
    </w:rPr>
  </w:style>
  <w:style w:type="paragraph" w:styleId="ListParagraph">
    <w:name w:val="List Paragraph"/>
    <w:basedOn w:val="Normal"/>
    <w:uiPriority w:val="34"/>
    <w:qFormat/>
    <w:rsid w:val="002837BF"/>
    <w:pPr>
      <w:ind w:left="720"/>
      <w:contextualSpacing/>
    </w:pPr>
  </w:style>
  <w:style w:type="paragraph" w:styleId="Quote">
    <w:name w:val="Quote"/>
    <w:basedOn w:val="Normal"/>
    <w:next w:val="Normal"/>
    <w:link w:val="QuoteChar"/>
    <w:uiPriority w:val="29"/>
    <w:qFormat/>
    <w:rsid w:val="002837BF"/>
    <w:rPr>
      <w:i/>
    </w:rPr>
  </w:style>
  <w:style w:type="character" w:customStyle="1" w:styleId="QuoteChar">
    <w:name w:val="Quote Char"/>
    <w:basedOn w:val="DefaultParagraphFont"/>
    <w:link w:val="Quote"/>
    <w:uiPriority w:val="29"/>
    <w:rsid w:val="002837BF"/>
    <w:rPr>
      <w:i/>
      <w:sz w:val="24"/>
      <w:szCs w:val="24"/>
    </w:rPr>
  </w:style>
  <w:style w:type="paragraph" w:styleId="IntenseQuote">
    <w:name w:val="Intense Quote"/>
    <w:basedOn w:val="Normal"/>
    <w:next w:val="Normal"/>
    <w:link w:val="IntenseQuoteChar"/>
    <w:uiPriority w:val="30"/>
    <w:qFormat/>
    <w:rsid w:val="002837BF"/>
    <w:pPr>
      <w:ind w:left="720" w:right="720"/>
    </w:pPr>
    <w:rPr>
      <w:b/>
      <w:i/>
      <w:szCs w:val="22"/>
    </w:rPr>
  </w:style>
  <w:style w:type="character" w:customStyle="1" w:styleId="IntenseQuoteChar">
    <w:name w:val="Intense Quote Char"/>
    <w:basedOn w:val="DefaultParagraphFont"/>
    <w:link w:val="IntenseQuote"/>
    <w:uiPriority w:val="30"/>
    <w:rsid w:val="002837BF"/>
    <w:rPr>
      <w:b/>
      <w:i/>
      <w:sz w:val="24"/>
    </w:rPr>
  </w:style>
  <w:style w:type="character" w:styleId="SubtleEmphasis">
    <w:name w:val="Subtle Emphasis"/>
    <w:uiPriority w:val="19"/>
    <w:qFormat/>
    <w:rsid w:val="002837BF"/>
    <w:rPr>
      <w:i/>
      <w:color w:val="5A5A5A" w:themeColor="text1" w:themeTint="A5"/>
    </w:rPr>
  </w:style>
  <w:style w:type="character" w:styleId="IntenseEmphasis">
    <w:name w:val="Intense Emphasis"/>
    <w:basedOn w:val="DefaultParagraphFont"/>
    <w:uiPriority w:val="21"/>
    <w:qFormat/>
    <w:rsid w:val="002837BF"/>
    <w:rPr>
      <w:b/>
      <w:i/>
      <w:sz w:val="24"/>
      <w:szCs w:val="24"/>
      <w:u w:val="single"/>
    </w:rPr>
  </w:style>
  <w:style w:type="character" w:styleId="SubtleReference">
    <w:name w:val="Subtle Reference"/>
    <w:basedOn w:val="DefaultParagraphFont"/>
    <w:uiPriority w:val="31"/>
    <w:qFormat/>
    <w:rsid w:val="002837BF"/>
    <w:rPr>
      <w:sz w:val="24"/>
      <w:szCs w:val="24"/>
      <w:u w:val="single"/>
    </w:rPr>
  </w:style>
  <w:style w:type="character" w:styleId="IntenseReference">
    <w:name w:val="Intense Reference"/>
    <w:basedOn w:val="DefaultParagraphFont"/>
    <w:uiPriority w:val="32"/>
    <w:qFormat/>
    <w:rsid w:val="002837BF"/>
    <w:rPr>
      <w:b/>
      <w:sz w:val="24"/>
      <w:u w:val="single"/>
    </w:rPr>
  </w:style>
  <w:style w:type="character" w:styleId="BookTitle">
    <w:name w:val="Book Title"/>
    <w:basedOn w:val="DefaultParagraphFont"/>
    <w:uiPriority w:val="33"/>
    <w:qFormat/>
    <w:rsid w:val="002837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37BF"/>
    <w:pPr>
      <w:outlineLvl w:val="9"/>
    </w:pPr>
  </w:style>
  <w:style w:type="character" w:styleId="CommentReference">
    <w:name w:val="annotation reference"/>
    <w:basedOn w:val="DefaultParagraphFont"/>
    <w:uiPriority w:val="99"/>
    <w:semiHidden/>
    <w:unhideWhenUsed/>
    <w:rsid w:val="00BC05F7"/>
    <w:rPr>
      <w:sz w:val="18"/>
      <w:szCs w:val="18"/>
    </w:rPr>
  </w:style>
  <w:style w:type="paragraph" w:styleId="CommentText">
    <w:name w:val="annotation text"/>
    <w:basedOn w:val="Normal"/>
    <w:link w:val="CommentTextChar"/>
    <w:uiPriority w:val="99"/>
    <w:semiHidden/>
    <w:unhideWhenUsed/>
    <w:rsid w:val="00BC05F7"/>
  </w:style>
  <w:style w:type="character" w:customStyle="1" w:styleId="CommentTextChar">
    <w:name w:val="Comment Text Char"/>
    <w:basedOn w:val="DefaultParagraphFont"/>
    <w:link w:val="CommentText"/>
    <w:uiPriority w:val="99"/>
    <w:semiHidden/>
    <w:rsid w:val="00BC05F7"/>
    <w:rPr>
      <w:sz w:val="24"/>
      <w:szCs w:val="24"/>
    </w:rPr>
  </w:style>
  <w:style w:type="paragraph" w:styleId="CommentSubject">
    <w:name w:val="annotation subject"/>
    <w:basedOn w:val="CommentText"/>
    <w:next w:val="CommentText"/>
    <w:link w:val="CommentSubjectChar"/>
    <w:uiPriority w:val="99"/>
    <w:semiHidden/>
    <w:unhideWhenUsed/>
    <w:rsid w:val="00BC05F7"/>
    <w:rPr>
      <w:b/>
      <w:bCs/>
      <w:sz w:val="20"/>
      <w:szCs w:val="20"/>
    </w:rPr>
  </w:style>
  <w:style w:type="character" w:customStyle="1" w:styleId="CommentSubjectChar">
    <w:name w:val="Comment Subject Char"/>
    <w:basedOn w:val="CommentTextChar"/>
    <w:link w:val="CommentSubject"/>
    <w:uiPriority w:val="99"/>
    <w:semiHidden/>
    <w:rsid w:val="00BC05F7"/>
    <w:rPr>
      <w:b/>
      <w:bCs/>
      <w:sz w:val="20"/>
      <w:szCs w:val="20"/>
    </w:rPr>
  </w:style>
  <w:style w:type="paragraph" w:styleId="BalloonText">
    <w:name w:val="Balloon Text"/>
    <w:basedOn w:val="Normal"/>
    <w:link w:val="BalloonTextChar"/>
    <w:uiPriority w:val="99"/>
    <w:semiHidden/>
    <w:unhideWhenUsed/>
    <w:rsid w:val="00BC05F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5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vanderzee jane</dc:creator>
  <cp:keywords/>
  <dc:description/>
  <cp:lastModifiedBy>Joan Curtiss</cp:lastModifiedBy>
  <cp:revision>2</cp:revision>
  <dcterms:created xsi:type="dcterms:W3CDTF">2016-08-08T17:44:00Z</dcterms:created>
  <dcterms:modified xsi:type="dcterms:W3CDTF">2016-08-08T17:44:00Z</dcterms:modified>
</cp:coreProperties>
</file>